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ED0B" w14:textId="77777777" w:rsidR="00C64B1B" w:rsidRPr="00EC207C" w:rsidRDefault="00C64B1B" w:rsidP="00C64B1B">
      <w:pPr>
        <w:jc w:val="center"/>
        <w:rPr>
          <w:rFonts w:asciiTheme="minorHAnsi" w:hAnsiTheme="minorHAnsi" w:cstheme="minorHAnsi"/>
        </w:rPr>
      </w:pPr>
    </w:p>
    <w:tbl>
      <w:tblPr>
        <w:tblW w:w="15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5245"/>
        <w:gridCol w:w="3260"/>
        <w:gridCol w:w="3486"/>
        <w:gridCol w:w="15"/>
      </w:tblGrid>
      <w:tr w:rsidR="00A06425" w:rsidRPr="00EC207C" w14:paraId="29B7109E" w14:textId="77777777" w:rsidTr="007F684B">
        <w:tc>
          <w:tcPr>
            <w:tcW w:w="15545" w:type="dxa"/>
            <w:gridSpan w:val="7"/>
            <w:vAlign w:val="center"/>
          </w:tcPr>
          <w:p w14:paraId="24F00151" w14:textId="77777777" w:rsidR="007F684B" w:rsidRPr="007F684B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bCs/>
                <w:iCs/>
              </w:rPr>
            </w:pPr>
            <w:r w:rsidRPr="007F684B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Nazwa dokumentu:</w:t>
            </w:r>
          </w:p>
          <w:p w14:paraId="29C9470A" w14:textId="2409BEF8" w:rsidR="00A06425" w:rsidRPr="00EC207C" w:rsidRDefault="0093104D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hyperlink r:id="rId4" w:history="1">
              <w:r w:rsidRPr="00EC207C">
                <w:rPr>
                  <w:rStyle w:val="Hipercze"/>
                  <w:rFonts w:asciiTheme="minorHAnsi" w:hAnsiTheme="minorHAnsi" w:cstheme="minorHAnsi"/>
                  <w:b/>
                  <w:bCs/>
                  <w:color w:val="auto"/>
                  <w:sz w:val="22"/>
                  <w:szCs w:val="22"/>
                  <w:u w:val="none"/>
                </w:rPr>
                <w:t>projekt ustawy o zmianie niektórych ustaw w związku z rozwojem rejestrów publicznych prowadzonych z wykorzystaniem systemu rejestrów państwowych (UD337)</w:t>
              </w:r>
            </w:hyperlink>
          </w:p>
        </w:tc>
      </w:tr>
      <w:tr w:rsidR="00A06425" w:rsidRPr="00EC207C" w14:paraId="347D81B6" w14:textId="77777777" w:rsidTr="007F684B">
        <w:trPr>
          <w:gridAfter w:val="1"/>
          <w:wAfter w:w="15" w:type="dxa"/>
        </w:trPr>
        <w:tc>
          <w:tcPr>
            <w:tcW w:w="562" w:type="dxa"/>
            <w:vAlign w:val="center"/>
          </w:tcPr>
          <w:p w14:paraId="6F0549E6" w14:textId="77777777" w:rsidR="00A06425" w:rsidRPr="00EC207C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38F0E7DA" w14:textId="77777777" w:rsidR="00A06425" w:rsidRPr="00EC207C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CFB743C" w14:textId="77777777" w:rsidR="00A06425" w:rsidRPr="00EC207C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5245" w:type="dxa"/>
            <w:vAlign w:val="center"/>
          </w:tcPr>
          <w:p w14:paraId="25A6D3B3" w14:textId="77777777" w:rsidR="00A06425" w:rsidRPr="00EC207C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260" w:type="dxa"/>
            <w:vAlign w:val="center"/>
          </w:tcPr>
          <w:p w14:paraId="0C1452D2" w14:textId="77777777" w:rsidR="00A06425" w:rsidRPr="00EC207C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486" w:type="dxa"/>
            <w:vAlign w:val="center"/>
          </w:tcPr>
          <w:p w14:paraId="02B9FF23" w14:textId="77777777" w:rsidR="00A06425" w:rsidRPr="00EC207C" w:rsidRDefault="00A06425" w:rsidP="00C840F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772AAA" w:rsidRPr="00EC207C" w14:paraId="01420F9F" w14:textId="77777777" w:rsidTr="007F684B">
        <w:trPr>
          <w:gridAfter w:val="1"/>
          <w:wAfter w:w="15" w:type="dxa"/>
        </w:trPr>
        <w:tc>
          <w:tcPr>
            <w:tcW w:w="562" w:type="dxa"/>
          </w:tcPr>
          <w:p w14:paraId="4321CD28" w14:textId="6BDECD0E" w:rsidR="00772AAA" w:rsidRPr="00EC207C" w:rsidRDefault="00772AAA" w:rsidP="00772AA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2C86202" w14:textId="0FE25433" w:rsidR="00772AAA" w:rsidRPr="00EC207C" w:rsidRDefault="00772AAA" w:rsidP="00772A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MS</w:t>
            </w:r>
          </w:p>
        </w:tc>
        <w:tc>
          <w:tcPr>
            <w:tcW w:w="1843" w:type="dxa"/>
          </w:tcPr>
          <w:p w14:paraId="5C649E79" w14:textId="78C4DEFF" w:rsidR="00772AAA" w:rsidRPr="00EC207C" w:rsidRDefault="00772AAA" w:rsidP="00772A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Art. 1</w:t>
            </w:r>
          </w:p>
        </w:tc>
        <w:tc>
          <w:tcPr>
            <w:tcW w:w="5245" w:type="dxa"/>
          </w:tcPr>
          <w:p w14:paraId="1B206732" w14:textId="5AE7846C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Korektę redakcyjną § 2, dodawanego do art. 59 Kodeksu rodzinnego i opiekuńczego</w:t>
            </w:r>
            <w:r w:rsidR="00A32814"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poprzez zamianę sformułowania „do kierownika urzędu stanu cywilnego” na zwrot</w:t>
            </w:r>
            <w:r w:rsidR="00A32814"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„kierownikowi urzędu stanu cywilnego”,</w:t>
            </w:r>
          </w:p>
        </w:tc>
        <w:tc>
          <w:tcPr>
            <w:tcW w:w="3260" w:type="dxa"/>
          </w:tcPr>
          <w:p w14:paraId="4523AE79" w14:textId="6A2CBA94" w:rsidR="00772AAA" w:rsidRPr="00EC207C" w:rsidRDefault="00772AAA" w:rsidP="00772A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04E93279" w14:textId="0BD14ABC" w:rsidR="00772AAA" w:rsidRPr="007F684B" w:rsidRDefault="006C6691" w:rsidP="00C840F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 uwzględniona</w:t>
            </w:r>
          </w:p>
        </w:tc>
      </w:tr>
      <w:tr w:rsidR="00772AAA" w:rsidRPr="00EC207C" w14:paraId="5E78E6AA" w14:textId="77777777" w:rsidTr="007F684B">
        <w:trPr>
          <w:gridAfter w:val="1"/>
          <w:wAfter w:w="15" w:type="dxa"/>
        </w:trPr>
        <w:tc>
          <w:tcPr>
            <w:tcW w:w="562" w:type="dxa"/>
          </w:tcPr>
          <w:p w14:paraId="4DE5EC19" w14:textId="4AD20942" w:rsidR="00772AAA" w:rsidRPr="00EC207C" w:rsidRDefault="00772AAA" w:rsidP="00772AA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089F68C8" w14:textId="77777777" w:rsidR="00772AAA" w:rsidRPr="00EC207C" w:rsidRDefault="00772AAA" w:rsidP="00772A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MSWiA </w:t>
            </w:r>
          </w:p>
        </w:tc>
        <w:tc>
          <w:tcPr>
            <w:tcW w:w="1843" w:type="dxa"/>
          </w:tcPr>
          <w:p w14:paraId="66837122" w14:textId="58493709" w:rsidR="00772AAA" w:rsidRPr="00EC207C" w:rsidRDefault="007F684B" w:rsidP="00772A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</w:t>
            </w:r>
            <w:r w:rsidR="00772AAA" w:rsidRPr="00EC207C">
              <w:rPr>
                <w:rFonts w:asciiTheme="minorHAnsi" w:hAnsiTheme="minorHAnsi" w:cstheme="minorHAnsi"/>
                <w:sz w:val="22"/>
                <w:szCs w:val="22"/>
              </w:rPr>
              <w:t>t. 2 pkt 5 w zakresie zmian wprowadzanych do ustawy o ewidencji ludności (dodanie art. 23ea)</w:t>
            </w:r>
          </w:p>
        </w:tc>
        <w:tc>
          <w:tcPr>
            <w:tcW w:w="5245" w:type="dxa"/>
          </w:tcPr>
          <w:p w14:paraId="5B981332" w14:textId="6804C426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Opiniowany projekt z dnia 29 maja 2026 r. wprowadza inne brzmienie art. 23ea niż projekt z dnia 13 marca 2026 r. Zgodnie z aktualnym brzmieniem art. 23ea ust. 2 pełnomocnik składa pełnomocnictwo szczególne:</w:t>
            </w:r>
          </w:p>
          <w:p w14:paraId="742549F1" w14:textId="0E4BDB23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1)</w:t>
            </w:r>
            <w:r w:rsidR="00A32814"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do dokonania czynności, o której mowa w ust. 1 – jeżeli pełnomocnikiem jest adwokat albo radca prawny,</w:t>
            </w:r>
          </w:p>
          <w:p w14:paraId="55928827" w14:textId="37F71B2A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2)</w:t>
            </w:r>
            <w:r w:rsidR="00A32814"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w formie notarialnej do dokonania czynności, o której mowa w ust. 1 – jeżeli pełnomocnikiem jest osoba inna niż w pkt 1</w:t>
            </w:r>
          </w:p>
          <w:p w14:paraId="717E25B1" w14:textId="77777777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– i potwierdza swoją tożsamość za pomocą dokumentu tożsamości.</w:t>
            </w:r>
          </w:p>
          <w:p w14:paraId="0F78FC3A" w14:textId="6AF04EF3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Z obowiązującego brzmienia ww. przepisu wynika, że pełnomocnictwo szczególne do dokonania cofnięcia zastrzeżenia numeru PESEL udzielone innej osobie zaufania publicznego, niż adwokat lub radca prawny, musi zostać sporządzone w formie aktu notarialnego. Zgodnie natomiast z art. 33 § 3 ustawy z dnia 14 czerwca 1960 r. – Kodeks postępowania administracyjnego (Dz.U. z 2025 r. poz. 1691) pełnomocnik dołącza do akt oryginał lub urzędowo poświadczony odpis pełnomocnictwa. Adwokat, radca prawny, rzecznik patentowy, a także doradca podatkowy mogą sami uwierzytelnić odpis udzielonego im pełnomocnictwa oraz odpisy innych dokumentów wykazujących ich umocowanie. Organ administracji publicznej może w razie wątpliwości zażądać 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urzędowego poświadczenia podpisu strony. Wydaje się, że projektowany przepis powinien być zgodny z ww. regulacją kpa. </w:t>
            </w:r>
          </w:p>
          <w:p w14:paraId="2F70F98A" w14:textId="44032CC0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Jednocześnie należy wskazać, że zgodnie</w:t>
            </w:r>
            <w:r w:rsidR="00517746"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z powszechnie stosowaną terminologią pełnomocnictwo może być sporządzone w „formie aktu notarialnego”, nie zaś „w formie notarialnej”.</w:t>
            </w:r>
          </w:p>
        </w:tc>
        <w:tc>
          <w:tcPr>
            <w:tcW w:w="3260" w:type="dxa"/>
          </w:tcPr>
          <w:p w14:paraId="1C21ED04" w14:textId="5B523FD7" w:rsidR="00772AAA" w:rsidRPr="00EC207C" w:rsidRDefault="00772AAA" w:rsidP="00C840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Zgodnie z uwagą</w:t>
            </w:r>
          </w:p>
        </w:tc>
        <w:tc>
          <w:tcPr>
            <w:tcW w:w="3486" w:type="dxa"/>
          </w:tcPr>
          <w:p w14:paraId="027897E6" w14:textId="772CC870" w:rsidR="00772AAA" w:rsidRPr="007F684B" w:rsidRDefault="00AF0734" w:rsidP="00C840F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Uwaga </w:t>
            </w:r>
            <w:r w:rsidR="00C3724E" w:rsidRPr="007F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uwzględniona</w:t>
            </w:r>
          </w:p>
          <w:p w14:paraId="1F5434B5" w14:textId="77777777" w:rsidR="00AF0734" w:rsidRPr="00EC207C" w:rsidRDefault="00AF0734" w:rsidP="00C840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E6082D" w14:textId="07248B57" w:rsidR="00AF0734" w:rsidRPr="00EC207C" w:rsidRDefault="003808DB" w:rsidP="00C840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Projekt w tym zakresie został uzupełniony o odpowiednie odesłanie do przepisów Kodeksu postępowania administracyjnego</w:t>
            </w:r>
            <w:r w:rsidR="0062760C" w:rsidRPr="00EC207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2B4E038" w14:textId="77777777" w:rsidR="0064743D" w:rsidRPr="00EC207C" w:rsidRDefault="0064743D" w:rsidP="00C840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8E69AD" w14:textId="664485AC" w:rsidR="0064743D" w:rsidRPr="00EC207C" w:rsidRDefault="0064743D" w:rsidP="00C840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Odnosząc się do formy pełnomocnictwa (aktu notarialnego) – zosta</w:t>
            </w:r>
            <w:r w:rsidR="003808DB" w:rsidRPr="00EC207C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 dokonana korekta brzmienia przepisu na zaproponowaną w uwadze</w:t>
            </w:r>
            <w:r w:rsidR="00B61351" w:rsidRPr="00EC207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772AAA" w:rsidRPr="00EC207C" w14:paraId="24CF1331" w14:textId="77777777" w:rsidTr="007F684B">
        <w:trPr>
          <w:gridAfter w:val="1"/>
          <w:wAfter w:w="15" w:type="dxa"/>
        </w:trPr>
        <w:tc>
          <w:tcPr>
            <w:tcW w:w="562" w:type="dxa"/>
          </w:tcPr>
          <w:p w14:paraId="27A9089D" w14:textId="2BE619A5" w:rsidR="00772AAA" w:rsidRPr="00EC207C" w:rsidRDefault="00772AAA" w:rsidP="00772AA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1ABC3120" w14:textId="4B49C3BF" w:rsidR="00772AAA" w:rsidRPr="00EC207C" w:rsidRDefault="00772AAA" w:rsidP="00772A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MS</w:t>
            </w:r>
          </w:p>
        </w:tc>
        <w:tc>
          <w:tcPr>
            <w:tcW w:w="1843" w:type="dxa"/>
          </w:tcPr>
          <w:p w14:paraId="40B5540B" w14:textId="4272ABDB" w:rsidR="00772AAA" w:rsidRPr="00EC207C" w:rsidRDefault="00772AAA" w:rsidP="00772A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Art. 2 pkt 5</w:t>
            </w:r>
          </w:p>
        </w:tc>
        <w:tc>
          <w:tcPr>
            <w:tcW w:w="5245" w:type="dxa"/>
          </w:tcPr>
          <w:p w14:paraId="09E1E278" w14:textId="77777777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korektę redakcyjną dodawanego w ustawie o ewidencji ludności art. 23ae ust. 1, gdzie</w:t>
            </w:r>
          </w:p>
          <w:p w14:paraId="0766056A" w14:textId="39B9CBB1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zamiast słów „o cofnięcie zastrzeżenie” powinno być „cofnięcie zastrzeżenia”,</w:t>
            </w:r>
          </w:p>
        </w:tc>
        <w:tc>
          <w:tcPr>
            <w:tcW w:w="3260" w:type="dxa"/>
          </w:tcPr>
          <w:p w14:paraId="6FEA57B2" w14:textId="3D5EC88A" w:rsidR="00772AAA" w:rsidRPr="00EC207C" w:rsidRDefault="00772AAA" w:rsidP="00772A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0C333D9B" w14:textId="0C126F18" w:rsidR="00772AAA" w:rsidRPr="007F684B" w:rsidRDefault="006C6691" w:rsidP="00C840F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 uwzględniona</w:t>
            </w:r>
          </w:p>
        </w:tc>
      </w:tr>
      <w:tr w:rsidR="00772AAA" w:rsidRPr="00EC207C" w14:paraId="75FB2470" w14:textId="77777777" w:rsidTr="007F684B">
        <w:trPr>
          <w:gridAfter w:val="1"/>
          <w:wAfter w:w="15" w:type="dxa"/>
        </w:trPr>
        <w:tc>
          <w:tcPr>
            <w:tcW w:w="562" w:type="dxa"/>
          </w:tcPr>
          <w:p w14:paraId="37CB10A0" w14:textId="5812B736" w:rsidR="00772AAA" w:rsidRPr="00EC207C" w:rsidRDefault="00772AAA" w:rsidP="00772AA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0449AA90" w14:textId="69BB71FC" w:rsidR="00772AAA" w:rsidRPr="00EC207C" w:rsidRDefault="00772AAA" w:rsidP="00772A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MS</w:t>
            </w:r>
          </w:p>
        </w:tc>
        <w:tc>
          <w:tcPr>
            <w:tcW w:w="1843" w:type="dxa"/>
          </w:tcPr>
          <w:p w14:paraId="19210106" w14:textId="62443E12" w:rsidR="00772AAA" w:rsidRPr="00EC207C" w:rsidRDefault="00772AAA" w:rsidP="00772A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Art. 2 pkt 5</w:t>
            </w:r>
          </w:p>
        </w:tc>
        <w:tc>
          <w:tcPr>
            <w:tcW w:w="5245" w:type="dxa"/>
          </w:tcPr>
          <w:p w14:paraId="4C841AF4" w14:textId="4B6B0B7E" w:rsidR="00772AAA" w:rsidRPr="00EC207C" w:rsidRDefault="005669D7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772AAA" w:rsidRPr="00EC207C">
              <w:rPr>
                <w:rFonts w:asciiTheme="minorHAnsi" w:hAnsiTheme="minorHAnsi" w:cstheme="minorHAnsi"/>
                <w:sz w:val="22"/>
                <w:szCs w:val="22"/>
              </w:rPr>
              <w:t>ątpliwości interpretacyjne może budzić art. 23ae ust. 2. O ile jasne jest, że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72AAA" w:rsidRPr="00EC207C">
              <w:rPr>
                <w:rFonts w:asciiTheme="minorHAnsi" w:hAnsiTheme="minorHAnsi" w:cstheme="minorHAnsi"/>
                <w:sz w:val="22"/>
                <w:szCs w:val="22"/>
              </w:rPr>
              <w:t>pełnomocnik celem złożenia wniosku o cofnięcie zastrzeżenia numeru PESEL składa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72AAA" w:rsidRPr="00EC207C">
              <w:rPr>
                <w:rFonts w:asciiTheme="minorHAnsi" w:hAnsiTheme="minorHAnsi" w:cstheme="minorHAnsi"/>
                <w:sz w:val="22"/>
                <w:szCs w:val="22"/>
              </w:rPr>
              <w:t>pełnomocnictwo szczególne co do dokonania tej właśnie czynności (a zatem znany jest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72AAA" w:rsidRPr="00EC207C">
              <w:rPr>
                <w:rFonts w:asciiTheme="minorHAnsi" w:hAnsiTheme="minorHAnsi" w:cstheme="minorHAnsi"/>
                <w:sz w:val="22"/>
                <w:szCs w:val="22"/>
              </w:rPr>
              <w:t>rodzaj pełnomocnictwa), o tyle nie do końca wiadomo, w jakiej formie powinno być ono</w:t>
            </w:r>
          </w:p>
          <w:p w14:paraId="030AE806" w14:textId="77777777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sporządzone, jeśli pełnomocnikiem jest adwokat albo radca prawny. Zasadnym byłoby -</w:t>
            </w:r>
          </w:p>
          <w:p w14:paraId="5473D870" w14:textId="77777777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skoro projektodawca zdecydował się na uregulowanie formy pełnomocnictwa</w:t>
            </w:r>
          </w:p>
          <w:p w14:paraId="7B432B9C" w14:textId="77777777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w stosunku do pełnomocników nieprofesjonalnych - doprecyzowanie formy</w:t>
            </w:r>
          </w:p>
          <w:p w14:paraId="5AECF83B" w14:textId="77777777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pełnomocnictwa również w stosunku do adwokatów/radców prawych poprzez np.</w:t>
            </w:r>
          </w:p>
          <w:p w14:paraId="4FFBD350" w14:textId="77777777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wskazanie, że adwokat/radca prawny składa do akt pełnomocnictwo w formie pisemnej</w:t>
            </w:r>
          </w:p>
          <w:p w14:paraId="0AE682C7" w14:textId="77777777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(oryginał albo uwierzytelniony odpis pełnomocnictwa), ewentualnie odesłanie -</w:t>
            </w:r>
          </w:p>
          <w:p w14:paraId="4833B02F" w14:textId="77777777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analogicznie jak w przypadku dopełniania obowiązku meldunkowego przez pełnomocnika</w:t>
            </w:r>
          </w:p>
          <w:p w14:paraId="22310B30" w14:textId="01FAD524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(zob. art. 24 ust. 4 ustawy o ewidencji ludności).</w:t>
            </w:r>
          </w:p>
        </w:tc>
        <w:tc>
          <w:tcPr>
            <w:tcW w:w="3260" w:type="dxa"/>
          </w:tcPr>
          <w:p w14:paraId="4E86F944" w14:textId="77777777" w:rsidR="00772AAA" w:rsidRPr="00EC207C" w:rsidRDefault="00772AAA" w:rsidP="00772A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0EA59107" w14:textId="3A3CAFAE" w:rsidR="00772AAA" w:rsidRPr="007F684B" w:rsidRDefault="003808DB" w:rsidP="00C840F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 uwzględniona</w:t>
            </w:r>
          </w:p>
          <w:p w14:paraId="64C6286B" w14:textId="77777777" w:rsidR="003808DB" w:rsidRPr="00EC207C" w:rsidRDefault="003808DB" w:rsidP="00C840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594D3" w14:textId="31688AA9" w:rsidR="003808DB" w:rsidRPr="00EC207C" w:rsidRDefault="003808DB" w:rsidP="00C840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Projekt w tym zakresie został uzupełniony o odpowiednie odesłanie do przepisów Kodeksu postępowania administracyjnego</w:t>
            </w:r>
            <w:r w:rsidR="00C840F5" w:rsidRPr="00EC207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772AAA" w:rsidRPr="00EC207C" w14:paraId="6E24804D" w14:textId="77777777" w:rsidTr="007F684B">
        <w:trPr>
          <w:gridAfter w:val="1"/>
          <w:wAfter w:w="15" w:type="dxa"/>
        </w:trPr>
        <w:tc>
          <w:tcPr>
            <w:tcW w:w="562" w:type="dxa"/>
          </w:tcPr>
          <w:p w14:paraId="10CFEA72" w14:textId="610B6BDB" w:rsidR="00772AAA" w:rsidRPr="00EC207C" w:rsidRDefault="00772AAA" w:rsidP="00772AA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1361BF81" w14:textId="427FE2CC" w:rsidR="00772AAA" w:rsidRPr="00EC207C" w:rsidRDefault="00772AAA" w:rsidP="00772A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MSWiA </w:t>
            </w:r>
          </w:p>
        </w:tc>
        <w:tc>
          <w:tcPr>
            <w:tcW w:w="1843" w:type="dxa"/>
          </w:tcPr>
          <w:p w14:paraId="27FC7229" w14:textId="3F2C8C18" w:rsidR="00772AAA" w:rsidRPr="00EC207C" w:rsidRDefault="00772AAA" w:rsidP="00772A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art. 4 pkt 2 lit b ww. projektu – który dotyczy zmiany ustawy o dokumentach 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paszportowych poprzez dodanie w art. 82 w ust. 1 punktów 14a i 14b</w:t>
            </w:r>
          </w:p>
        </w:tc>
        <w:tc>
          <w:tcPr>
            <w:tcW w:w="5245" w:type="dxa"/>
          </w:tcPr>
          <w:p w14:paraId="50890AB3" w14:textId="3ACCCAE5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 ewentualną rozwagę poddajemy doprecyzowanie art. 4 pkt 2 lit b ww. projektu – który dotyczy zmiany ustawy o dokumentach paszportowych poprzez dodanie w art. 82 w ust. 1 po pkt 14 kolejnych punktów,</w:t>
            </w:r>
            <w:r w:rsidR="00A32814"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tj. 14a i 14b – poprzez uzupełnienie sformułowania (…) </w:t>
            </w:r>
            <w:r w:rsidRPr="00EC207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oraz numeru PESEL wnioskodawcy oraz uczestnika postępowania (…) następującym wyrażeniem:</w:t>
            </w:r>
          </w:p>
          <w:p w14:paraId="346C61F9" w14:textId="33CEEBE4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 xml:space="preserve">„a jeżeli nie nadano tego numeru to rodzaj, serię i numer dokumentu tożsamości”. </w:t>
            </w:r>
          </w:p>
          <w:p w14:paraId="1AB44E83" w14:textId="0986F8D9" w:rsidR="00772AAA" w:rsidRPr="00EC207C" w:rsidRDefault="00772AAA" w:rsidP="00772A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Powyższa uwaga jest podyktowana tym, iż nie można wykluczyć, że w dokumentach o których mowa w przedmiotowej regulacji mogą być wymienione osoby, które nie mają obywatelstwa polskiego i nie mają nadanego numeru PESEL (w szczególności dot. to dokumentów/orzeczeń wydanych przez sądy/organy innych krajów).</w:t>
            </w:r>
          </w:p>
        </w:tc>
        <w:tc>
          <w:tcPr>
            <w:tcW w:w="3260" w:type="dxa"/>
          </w:tcPr>
          <w:p w14:paraId="1234B33C" w14:textId="77777777" w:rsidR="00772AAA" w:rsidRPr="00EC207C" w:rsidRDefault="00772AAA" w:rsidP="00772A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0ACCCEC1" w14:textId="5584E944" w:rsidR="00772AAA" w:rsidRPr="007F684B" w:rsidRDefault="005669D7" w:rsidP="00C840F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 uwzględniona</w:t>
            </w:r>
          </w:p>
        </w:tc>
      </w:tr>
      <w:tr w:rsidR="00690968" w:rsidRPr="00EC207C" w14:paraId="43BD063B" w14:textId="77777777" w:rsidTr="007F684B">
        <w:trPr>
          <w:gridAfter w:val="1"/>
          <w:wAfter w:w="15" w:type="dxa"/>
        </w:trPr>
        <w:tc>
          <w:tcPr>
            <w:tcW w:w="562" w:type="dxa"/>
          </w:tcPr>
          <w:p w14:paraId="5908B9EA" w14:textId="36C2917F" w:rsidR="00690968" w:rsidRPr="00EC207C" w:rsidRDefault="00690968" w:rsidP="0069096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ED1276A" w14:textId="0183EF3E" w:rsidR="00690968" w:rsidRPr="00EC207C" w:rsidRDefault="00690968" w:rsidP="0069096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EC20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MFiG</w:t>
            </w:r>
            <w:proofErr w:type="spellEnd"/>
            <w:r w:rsidRPr="00EC20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(MF)</w:t>
            </w:r>
          </w:p>
        </w:tc>
        <w:tc>
          <w:tcPr>
            <w:tcW w:w="1843" w:type="dxa"/>
          </w:tcPr>
          <w:p w14:paraId="78E1EC70" w14:textId="3D7DDA71" w:rsidR="00690968" w:rsidRPr="00EC207C" w:rsidRDefault="00690968" w:rsidP="006909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OSR pkt 6</w:t>
            </w:r>
          </w:p>
        </w:tc>
        <w:tc>
          <w:tcPr>
            <w:tcW w:w="5245" w:type="dxa"/>
          </w:tcPr>
          <w:p w14:paraId="0E388A37" w14:textId="7EAEAC11" w:rsidR="00690968" w:rsidRPr="00EC207C" w:rsidRDefault="00690968" w:rsidP="006909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207C">
              <w:rPr>
                <w:rFonts w:asciiTheme="minorHAnsi" w:hAnsiTheme="minorHAnsi" w:cstheme="minorHAnsi"/>
                <w:sz w:val="22"/>
                <w:szCs w:val="22"/>
              </w:rPr>
              <w:t>W pkt 6 OSR w poz. „Źródła finansowania”, zawarto zapewnienie, z którego wynika, że wszelkie skutki finansowe projektowanych rozwiązań obciążające budżet państwa zostaną sfinansowane w ramach limitu wydatków części budżetowej 27. Informatyzacja. Należy zauważyć, iż w sytuacji, kiedy wszelkie wydatki obciążające budżet państwa zostaną sfinansowane w ramach wydatków ujętych w limicie wydatków właściwej części budżetowej, bez konieczności wyasygnowania dodatkowych środków z budżetu państwa, możliwe jest odstąpienie od stosowania reguł zawartych w art. 50 ust. 1a, 4 i 5 ustawy o finansach publicznych w zakresie określenia w projekcie maksymalnych limitów wydatków, mechanizmów korygujących oraz organów monitorujących wykorzystanie maksymalnych limitów wydatków i wdrażających mechanizmy korygujące. Należy z treści projektu wykreślić artykuł zawierający maksymalny limit wydatków z budżetu państwa.</w:t>
            </w:r>
          </w:p>
        </w:tc>
        <w:tc>
          <w:tcPr>
            <w:tcW w:w="3260" w:type="dxa"/>
          </w:tcPr>
          <w:p w14:paraId="2A1B0778" w14:textId="77777777" w:rsidR="00690968" w:rsidRPr="00EC207C" w:rsidRDefault="00690968" w:rsidP="006909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69FA55DE" w14:textId="66F5B5FC" w:rsidR="00690968" w:rsidRPr="007F684B" w:rsidRDefault="003808DB" w:rsidP="00C840F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 uwzględniona</w:t>
            </w:r>
          </w:p>
        </w:tc>
      </w:tr>
    </w:tbl>
    <w:p w14:paraId="0C812E71" w14:textId="77777777" w:rsidR="00C64B1B" w:rsidRPr="00EC207C" w:rsidRDefault="00C64B1B" w:rsidP="00C64B1B">
      <w:pPr>
        <w:jc w:val="center"/>
        <w:rPr>
          <w:rFonts w:asciiTheme="minorHAnsi" w:hAnsiTheme="minorHAnsi" w:cstheme="minorHAnsi"/>
        </w:rPr>
      </w:pPr>
    </w:p>
    <w:sectPr w:rsidR="00C64B1B" w:rsidRPr="00EC207C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24B49"/>
    <w:rsid w:val="00034258"/>
    <w:rsid w:val="00090C9B"/>
    <w:rsid w:val="000B2B76"/>
    <w:rsid w:val="00140BE8"/>
    <w:rsid w:val="0019648E"/>
    <w:rsid w:val="0025077F"/>
    <w:rsid w:val="00261F61"/>
    <w:rsid w:val="002715B2"/>
    <w:rsid w:val="003124D1"/>
    <w:rsid w:val="0034665F"/>
    <w:rsid w:val="003808DB"/>
    <w:rsid w:val="003B4105"/>
    <w:rsid w:val="004D061F"/>
    <w:rsid w:val="004D086F"/>
    <w:rsid w:val="00517746"/>
    <w:rsid w:val="005669D7"/>
    <w:rsid w:val="005F6527"/>
    <w:rsid w:val="0062760C"/>
    <w:rsid w:val="0064743D"/>
    <w:rsid w:val="006705EC"/>
    <w:rsid w:val="00690968"/>
    <w:rsid w:val="00696D37"/>
    <w:rsid w:val="006C6691"/>
    <w:rsid w:val="006E16E9"/>
    <w:rsid w:val="00772AAA"/>
    <w:rsid w:val="007F684B"/>
    <w:rsid w:val="00807385"/>
    <w:rsid w:val="00862854"/>
    <w:rsid w:val="008D09F4"/>
    <w:rsid w:val="0093104D"/>
    <w:rsid w:val="00944932"/>
    <w:rsid w:val="009D1BEA"/>
    <w:rsid w:val="009E5FDB"/>
    <w:rsid w:val="00A06425"/>
    <w:rsid w:val="00A102E0"/>
    <w:rsid w:val="00A32814"/>
    <w:rsid w:val="00A42A81"/>
    <w:rsid w:val="00AC7796"/>
    <w:rsid w:val="00AF0734"/>
    <w:rsid w:val="00B61351"/>
    <w:rsid w:val="00B871B6"/>
    <w:rsid w:val="00BC4198"/>
    <w:rsid w:val="00BF3CEF"/>
    <w:rsid w:val="00C10566"/>
    <w:rsid w:val="00C3724E"/>
    <w:rsid w:val="00C64B1B"/>
    <w:rsid w:val="00C840F5"/>
    <w:rsid w:val="00CD5EB0"/>
    <w:rsid w:val="00DC5AE6"/>
    <w:rsid w:val="00E120DD"/>
    <w:rsid w:val="00E14C33"/>
    <w:rsid w:val="00E84C9F"/>
    <w:rsid w:val="00EC207C"/>
    <w:rsid w:val="00EE6F09"/>
    <w:rsid w:val="00EF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611E2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310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pl/web/kdsc/projekt-ustawy-o-zmianie-niektorych-ustaw-w-zwiazku-z-rozwojem-rejestrow-publicznych-prowadzonych-z-wykorzystaniem-systemu-rejestrow-panstwowych-ud33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869bc03-0068-40da-a54a-3674aefa3804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824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Witkowska-Krzymowska Magdalena</cp:lastModifiedBy>
  <cp:revision>7</cp:revision>
  <dcterms:created xsi:type="dcterms:W3CDTF">2026-06-16T12:35:00Z</dcterms:created>
  <dcterms:modified xsi:type="dcterms:W3CDTF">2026-06-18T18:40:00Z</dcterms:modified>
</cp:coreProperties>
</file>